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02" w:rsidRDefault="009F1302" w:rsidP="009F13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Teória: </w:t>
      </w:r>
      <w:r>
        <w:rPr>
          <w:rFonts w:ascii="Times New Roman" w:eastAsia="Times New Roman" w:hAnsi="Times New Roman" w:cs="Times New Roman"/>
          <w:sz w:val="24"/>
          <w:szCs w:val="24"/>
        </w:rPr>
        <w:t>Jedným z možných spôsobov zániku koloidnej disperzie je zhlukovanie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aregácia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častíc alebo koagulácia. Patrí medzi radikálne stavové zmeny, pri ktorých dochádza k splynutiu oddelených koloidných častíc do väčších celkov za zníženia stupňa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disperzity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pri určitej veľkosti sa začnú v gravitačnom poli usadzovať, sedimentovať. Proces koagulácie vzniká v dôsledku porušenia podmienok koloidnej sústavy, napr. zmenou koncentrácie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dispergovanej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fázy, zmenou teploty, vplyvom mechanických účinkov alebo svetla a pod. Jednoznačne najdôležitejší teoretický a praktický význam má koagulácia vyvolaná pridaním elektrolytov.</w:t>
      </w:r>
    </w:p>
    <w:p w:rsidR="009F1302" w:rsidRDefault="009F1302" w:rsidP="009F130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Častice koloidných rozmerov sa zachraňujú pred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agregáciou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práve vďaka "ochrannej" vrstve, ktorá zabezpečuje ich stabilitu. Jednak je to elektrická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dvojvrstva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(pri časticiach, ktorých povrch môže byť elektricky nabitý), alebo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solvatačná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vrstva adsorbovaných makromolekúl či molekúl povrchovo aktívnych látok.</w:t>
      </w:r>
    </w:p>
    <w:p w:rsidR="009F1302" w:rsidRDefault="009F1302" w:rsidP="009F130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Najčastejšie sa uplatňujúcim prípadom je koagulácia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lyofóbnych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koloidov (koloidné sústavy pripravené z anorganických látok) elektrolytmi. Typickým znakom týchto koloidov je elektrický náboj, ktorý sídli na povrchu koloidne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dispergovanej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častice. Zabraňuje časticiam spájať sa, a prispieva tak ku stabilite sólu. Jeho stratou strácajú častice koloidnú rozpustnosť     a takéto častice potom skoagulujú. Napríklad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dispergované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častice koloidu hydroxidu železitého obsahujú na svojom povrchu obvykle adsorbované vodíkové katióny 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(správnejšie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Ak sa k tejto koloidnej disperzii pridá napr. zriedený roztok KOH, potom sa náboj častíc čiastočne alebo úplne zneutralizuje tým, že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hydroxylové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anióny zlúčia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naadsorbovanými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vodíkovými katiónmi. Následkom toho prevládnu adhézne príťažlivé sily nad elektrostatickými odpudivými silami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dispergované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častice koagulujú.</w:t>
      </w:r>
    </w:p>
    <w:p w:rsidR="009F1302" w:rsidRDefault="009F1302" w:rsidP="009F130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Minimálna hodnota koncentrácie elektrolytu, pri ktorej koloidná disperzia zjavne koaguluje, sa nazýva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ný prah; prevrátená hodnota tejto veli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iny je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ná ú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</w:t>
      </w:r>
      <w:r>
        <w:rPr>
          <w:rFonts w:ascii="Times" w:eastAsia="Times" w:hAnsi="Times" w:cs="Times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.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ne ú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inný je len taký ión v elektrolyte, ktorý má opa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ný náboj ako koloidná </w:t>
      </w:r>
      <w:r w:rsidRPr="000476CC">
        <w:rPr>
          <w:rFonts w:ascii="Times New Roman" w:eastAsia="Times New Roman" w:hAnsi="Times New Roman" w:cs="Times New Roman"/>
          <w:sz w:val="24"/>
          <w:szCs w:val="24"/>
        </w:rPr>
        <w:t>častica</w:t>
      </w:r>
      <w:r>
        <w:rPr>
          <w:rFonts w:ascii="Times New Roman" w:eastAsia="Times New Roman" w:hAnsi="Times New Roman" w:cs="Times New Roman"/>
          <w:sz w:val="24"/>
          <w:szCs w:val="24"/>
        </w:rPr>
        <w:t>. Okrem toho závisí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ný prah aj od koncentrácie sólu. Preto je prah koagulácie relatívnou charakteristikou konkrétnej sústavy koloid – elektrolyt, a teda je potrebné uvádza</w:t>
      </w:r>
      <w:r>
        <w:rPr>
          <w:rFonts w:ascii="Times" w:eastAsia="Times" w:hAnsi="Times" w:cs="Times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z w:val="24"/>
          <w:szCs w:val="24"/>
        </w:rPr>
        <w:t>podmienky, za ktorých bol stanovovaný. Koagulácia pritom nemusí prebehnú</w:t>
      </w:r>
      <w:r>
        <w:rPr>
          <w:rFonts w:ascii="Times" w:eastAsia="Times" w:hAnsi="Times" w:cs="Times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z w:val="24"/>
          <w:szCs w:val="24"/>
        </w:rPr>
        <w:t>okamžite, ale až po ur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itom 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ase.</w:t>
      </w:r>
    </w:p>
    <w:p w:rsidR="009F1302" w:rsidRDefault="009F1302" w:rsidP="009F130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né ú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inky jedno-, dvoj- a trojmocných iónov sa líšia o viac poriadkov. Pri tej</w:t>
      </w:r>
    </w:p>
    <w:p w:rsidR="009F1302" w:rsidRDefault="009F1302" w:rsidP="009F13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istej koncentrácii je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ná ú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</w:t>
      </w:r>
      <w:r>
        <w:rPr>
          <w:rFonts w:ascii="Times" w:eastAsia="Times" w:hAnsi="Times" w:cs="Times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z w:val="24"/>
          <w:szCs w:val="24"/>
        </w:rPr>
        <w:t>iónov tým vä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šia, 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ím vyššie je ich nábojové 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íslo.</w:t>
      </w:r>
    </w:p>
    <w:p w:rsidR="009F1302" w:rsidRDefault="009F1302" w:rsidP="009F130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poznatok vyjadruje empirické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Schulzovo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pravidlo, v zmysle ktorého sú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né prahy pre jedno-, dvoj- a trojmocné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protióny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približne v pomere 1 : 0,016 : 0,0015. Je to spôsobené tým, že napr. jednomocné a dvojmocné katióny majú oproti trojmocným katiónom vä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šiu schopnos</w:t>
      </w:r>
      <w:r>
        <w:rPr>
          <w:rFonts w:ascii="Times" w:eastAsia="Times" w:hAnsi="Times" w:cs="Times"/>
          <w:sz w:val="24"/>
          <w:szCs w:val="24"/>
        </w:rPr>
        <w:t xml:space="preserve">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solvatova</w:t>
      </w:r>
      <w:r>
        <w:rPr>
          <w:rFonts w:ascii="Times" w:eastAsia="Times" w:hAnsi="Times" w:cs="Times"/>
          <w:sz w:val="24"/>
          <w:szCs w:val="24"/>
        </w:rPr>
        <w:t>ť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sa;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solvatovanom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stave sú objemnejšie, a preto sú slabšie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pútané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 povrchu 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astice.</w:t>
      </w:r>
    </w:p>
    <w:p w:rsidR="009F1302" w:rsidRDefault="009F1302" w:rsidP="009F130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iatok koagulácie môžeme zisti</w:t>
      </w:r>
      <w:r>
        <w:rPr>
          <w:rFonts w:ascii="Times" w:eastAsia="Times" w:hAnsi="Times" w:cs="Times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z w:val="24"/>
          <w:szCs w:val="24"/>
        </w:rPr>
        <w:t>rôznymi spôsobmi, napr. zmenou sfarbenia koloidnej disperzie, objavením sa zákalu, vylu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ovaním disperzného podielu (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dispergovanej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fázy) do zrazeniny a pod. Tieto príznaky sa však neobjavujú sú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asne.</w:t>
      </w:r>
    </w:p>
    <w:p w:rsidR="00E66EBE" w:rsidRDefault="00E66EBE">
      <w:bookmarkStart w:id="0" w:name="_GoBack"/>
      <w:bookmarkEnd w:id="0"/>
    </w:p>
    <w:sectPr w:rsidR="00E6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F8"/>
    <w:rsid w:val="000046F8"/>
    <w:rsid w:val="009F1302"/>
    <w:rsid w:val="00E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F1302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F1302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>TU-Zvolen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Ďuricová Anna</dc:creator>
  <cp:keywords/>
  <dc:description/>
  <cp:lastModifiedBy>Ďuricová Anna</cp:lastModifiedBy>
  <cp:revision>2</cp:revision>
  <dcterms:created xsi:type="dcterms:W3CDTF">2020-03-11T11:44:00Z</dcterms:created>
  <dcterms:modified xsi:type="dcterms:W3CDTF">2020-03-11T11:44:00Z</dcterms:modified>
</cp:coreProperties>
</file>